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E0BB" w14:textId="77777777" w:rsidR="00BF48DE" w:rsidRPr="00BF48DE" w:rsidRDefault="00BF48DE" w:rsidP="00BF4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C8C8C"/>
          <w:sz w:val="17"/>
          <w:szCs w:val="17"/>
        </w:rPr>
      </w:pPr>
      <w:r w:rsidRPr="00BF48DE">
        <w:rPr>
          <w:rFonts w:ascii="Arial" w:eastAsia="Times New Roman" w:hAnsi="Arial" w:cs="Arial"/>
          <w:color w:val="8C8C8C"/>
          <w:sz w:val="17"/>
          <w:szCs w:val="17"/>
        </w:rPr>
        <w:t>14/05/2009 5:26:04 CH, 00:26</w:t>
      </w:r>
    </w:p>
    <w:p w14:paraId="7F1D5952" w14:textId="77777777" w:rsidR="00BF48DE" w:rsidRPr="00BF48DE" w:rsidRDefault="00BF48DE" w:rsidP="00BF48DE">
      <w:pPr>
        <w:shd w:val="clear" w:color="auto" w:fill="FFFFFF"/>
        <w:spacing w:after="150" w:line="240" w:lineRule="auto"/>
        <w:outlineLvl w:val="0"/>
        <w:rPr>
          <w:rFonts w:ascii="Tahoma" w:eastAsia="Times New Roman" w:hAnsi="Tahoma" w:cs="Tahoma"/>
          <w:color w:val="165440"/>
          <w:kern w:val="36"/>
          <w:sz w:val="27"/>
          <w:szCs w:val="27"/>
        </w:rPr>
      </w:pP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Thay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đổi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người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đại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diện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phần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vốn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góp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của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PVFC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tham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gia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vào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Ban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đại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diện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</w:t>
      </w:r>
      <w:proofErr w:type="spellStart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>Quỹ</w:t>
      </w:r>
      <w:proofErr w:type="spellEnd"/>
      <w:r w:rsidRPr="00BF48DE">
        <w:rPr>
          <w:rFonts w:ascii="Tahoma" w:eastAsia="Times New Roman" w:hAnsi="Tahoma" w:cs="Tahoma"/>
          <w:color w:val="165440"/>
          <w:kern w:val="36"/>
          <w:sz w:val="27"/>
          <w:szCs w:val="27"/>
        </w:rPr>
        <w:t xml:space="preserve"> MAFPF1</w:t>
      </w:r>
    </w:p>
    <w:p w14:paraId="23F89481" w14:textId="77777777" w:rsidR="00BF48DE" w:rsidRPr="00BF48DE" w:rsidRDefault="00BF48DE" w:rsidP="00BF4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CV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số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: 028/2009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br/>
        <w:t xml:space="preserve">V/v: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Thay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đổi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người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phần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vốn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góp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PVFC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được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ủy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quyền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để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tham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gia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vào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MAFPF1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 xml:space="preserve">                                                                                                 TP.HCM,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Ngày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15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tháng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03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năm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2009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                                  THÔNG BÁO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Kính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gửi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: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Sở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Giao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Dịch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Khoán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TP.HCM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 xml:space="preserve">                 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Ủy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Khoán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Nhà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Nước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 xml:space="preserve">                 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Quý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Nhà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đầu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tư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ty QLQ: 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CÔNG TY TNHH QUẢN LÝ QUỸ MANULIFE VIỆT NAM (MVFM)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Đầu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Tư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Chúng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niêm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yết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: 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QUỸ ĐẦU TƯ TĂNG TRƯỞNG MANULIFE (MAFPF1)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Địa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chỉ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liên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lạc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: 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Lầu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7, 75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Hoàng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Văn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, P.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Tân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Phú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Quận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7, TP. HCM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thoại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:  08-5416 6777 - Fax: 08-5416 0761  – Website: </w:t>
      </w:r>
      <w:hyperlink r:id="rId4" w:history="1">
        <w:r w:rsidRPr="00BF48DE">
          <w:rPr>
            <w:rFonts w:ascii="Arial" w:eastAsia="Times New Roman" w:hAnsi="Arial" w:cs="Arial"/>
            <w:color w:val="165440"/>
            <w:sz w:val="18"/>
            <w:szCs w:val="18"/>
            <w:u w:val="single"/>
            <w:bdr w:val="none" w:sz="0" w:space="0" w:color="auto" w:frame="1"/>
          </w:rPr>
          <w:t>www.manulifefunds.com.vn</w:t>
        </w:r>
      </w:hyperlink>
      <w:r w:rsidRPr="00BF48DE">
        <w:rPr>
          <w:rFonts w:ascii="Arial" w:eastAsia="Times New Roman" w:hAnsi="Arial" w:cs="Arial"/>
          <w:color w:val="3A3A3A"/>
          <w:sz w:val="18"/>
          <w:szCs w:val="18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 xml:space="preserve">Xin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báo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đến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Sở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Giao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Dịch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Khoán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TP.HCM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Ủy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Khoán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Nhà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Nước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về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việc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thay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đổi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người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phần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vốn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góp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Tổng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ty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Tài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chính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Cổ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phần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Dầu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khí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Việt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Nam (PVFC)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được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ủy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quyền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để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tham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gia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vào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MAFPF1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như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sau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: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>-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Kể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từ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ngày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25/03/2009,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Phạm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Trường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Giang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sẽ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là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người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PVFC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tham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gia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vào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MAFPF1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thay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thế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Nguyễn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Xuân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Sơn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theo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Quyết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định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số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1902/QĐ-TCDK-TCNS&amp;TL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PVFC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hành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ngày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25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tháng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03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năm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2009.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Như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vậy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Thành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của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MAFPF1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kể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từ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ngày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25/03/2009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sẽ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bao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gồm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: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>1. 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Võ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Văn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Tiến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                                                     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vụ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Chủ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tịch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Ban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Quỹ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>2. 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Bà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Trịnh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Bích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Ngọc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                                                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vụ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Chủ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tịch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ty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kiêm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Thành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>3. 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Bà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Hoàng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Bích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Vân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                                                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vụ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Thành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>4. 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ty ES Holdings Co. Ltd.                               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vụ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Thành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 xml:space="preserve">                                                                                         Đại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Katsuyuki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Shimizu</w:t>
      </w: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>5. 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Tổng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ty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Tài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chính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Cổ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phần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Dầu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khí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Việt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Nam    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Chức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vụ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Thành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viên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  <w:t xml:space="preserve">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Đại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diện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: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Ông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Phạm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Trường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Giang</w:t>
      </w:r>
      <w:proofErr w:type="spellEnd"/>
    </w:p>
    <w:p w14:paraId="1265DA21" w14:textId="77777777" w:rsidR="00BF48DE" w:rsidRPr="00BF48DE" w:rsidRDefault="00BF48DE" w:rsidP="00BF4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Trân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trọng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kính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báo</w:t>
      </w:r>
      <w:proofErr w:type="spellEnd"/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t>,</w:t>
      </w:r>
    </w:p>
    <w:p w14:paraId="686DDF7B" w14:textId="77777777" w:rsidR="00BF48DE" w:rsidRPr="00BF48DE" w:rsidRDefault="00BF48DE" w:rsidP="00BF4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T.M CÔNG TY TNHH QUẢN LÝ QUỸ MANULIFE VIỆT NAM</w:t>
      </w:r>
    </w:p>
    <w:p w14:paraId="5A235410" w14:textId="77777777" w:rsidR="00BF48DE" w:rsidRPr="00BF48DE" w:rsidRDefault="00BF48DE" w:rsidP="00BF4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BF48DE">
        <w:rPr>
          <w:rFonts w:ascii="Arial" w:eastAsia="Times New Roman" w:hAnsi="Arial" w:cs="Arial"/>
          <w:color w:val="3A3A3A"/>
          <w:sz w:val="18"/>
          <w:szCs w:val="18"/>
          <w:bdr w:val="none" w:sz="0" w:space="0" w:color="auto" w:frame="1"/>
        </w:rPr>
        <w:br/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CHOW WING KEE</w:t>
      </w:r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br/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Quyền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Tổng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Giám</w:t>
      </w:r>
      <w:proofErr w:type="spellEnd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F48DE">
        <w:rPr>
          <w:rFonts w:ascii="Arial" w:eastAsia="Times New Roman" w:hAnsi="Arial" w:cs="Arial"/>
          <w:b/>
          <w:bCs/>
          <w:color w:val="3A3A3A"/>
          <w:sz w:val="18"/>
          <w:szCs w:val="18"/>
          <w:bdr w:val="none" w:sz="0" w:space="0" w:color="auto" w:frame="1"/>
        </w:rPr>
        <w:t>Đốc</w:t>
      </w:r>
      <w:proofErr w:type="spellEnd"/>
    </w:p>
    <w:p w14:paraId="43A3C18A" w14:textId="77777777" w:rsidR="005D12C4" w:rsidRDefault="00BF48DE">
      <w:bookmarkStart w:id="0" w:name="_GoBack"/>
      <w:bookmarkEnd w:id="0"/>
    </w:p>
    <w:sectPr w:rsidR="005D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DE"/>
    <w:rsid w:val="00287925"/>
    <w:rsid w:val="00BF48DE"/>
    <w:rsid w:val="00D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59E0"/>
  <w15:chartTrackingRefBased/>
  <w15:docId w15:val="{1306DF90-4FAD-45B5-9A11-6718E55D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48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4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ulifefunds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 Kirmani</dc:creator>
  <cp:keywords/>
  <dc:description/>
  <cp:lastModifiedBy>Basel Kirmani</cp:lastModifiedBy>
  <cp:revision>1</cp:revision>
  <dcterms:created xsi:type="dcterms:W3CDTF">2020-11-23T10:02:00Z</dcterms:created>
  <dcterms:modified xsi:type="dcterms:W3CDTF">2020-11-23T10:03:00Z</dcterms:modified>
</cp:coreProperties>
</file>